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63AF34FF" w:rsidR="00D82798" w:rsidRDefault="00D82798" w:rsidP="00D82798">
      <w:pPr>
        <w:pStyle w:val="Header"/>
        <w:rPr>
          <w:bCs/>
          <w:noProof w:val="0"/>
          <w:sz w:val="24"/>
          <w:lang w:val="en-GB"/>
        </w:rPr>
      </w:pPr>
      <w:r>
        <w:rPr>
          <w:bCs/>
          <w:noProof w:val="0"/>
          <w:sz w:val="24"/>
          <w:lang w:val="en-GB"/>
        </w:rPr>
        <w:t>3GPP TSG RAN WG1#8</w:t>
      </w:r>
      <w:r w:rsidR="00A91C7F">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sidRPr="00ED58A7">
        <w:rPr>
          <w:bCs/>
          <w:noProof w:val="0"/>
          <w:sz w:val="24"/>
          <w:lang w:val="en-GB"/>
        </w:rPr>
        <w:t>R1-17</w:t>
      </w:r>
      <w:r w:rsidR="00ED58A7" w:rsidRPr="00ED58A7">
        <w:rPr>
          <w:bCs/>
          <w:noProof w:val="0"/>
          <w:sz w:val="24"/>
          <w:lang w:val="en-GB"/>
        </w:rPr>
        <w:t>08530</w:t>
      </w:r>
    </w:p>
    <w:p w14:paraId="67DB2173" w14:textId="0C7EEE7F" w:rsidR="00A91C7F" w:rsidRPr="00461210" w:rsidRDefault="00A91C7F" w:rsidP="00A91C7F">
      <w:pPr>
        <w:pStyle w:val="Header"/>
        <w:tabs>
          <w:tab w:val="right" w:pos="9639"/>
        </w:tabs>
        <w:rPr>
          <w:bCs/>
          <w:noProof w:val="0"/>
          <w:sz w:val="24"/>
          <w:lang w:val="en-GB"/>
        </w:rPr>
      </w:pPr>
      <w:r>
        <w:rPr>
          <w:noProof w:val="0"/>
          <w:sz w:val="24"/>
          <w:lang w:val="en-GB"/>
        </w:rPr>
        <w:t>Hangzhou,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p>
    <w:p w14:paraId="30E02940" w14:textId="77777777" w:rsidR="00CA26CE" w:rsidRPr="0016316A" w:rsidRDefault="00CA26CE" w:rsidP="00CA26CE">
      <w:pPr>
        <w:pStyle w:val="Header"/>
        <w:rPr>
          <w:bCs/>
          <w:noProof w:val="0"/>
          <w:sz w:val="24"/>
          <w:lang w:val="en-GB" w:eastAsia="ja-JP"/>
        </w:rPr>
      </w:pPr>
    </w:p>
    <w:p w14:paraId="30E02941" w14:textId="74315C9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C4F81">
        <w:rPr>
          <w:rFonts w:cs="Arial"/>
          <w:b/>
          <w:bCs/>
          <w:sz w:val="24"/>
        </w:rPr>
        <w:t>7</w:t>
      </w:r>
      <w:r w:rsidR="009D1C90">
        <w:rPr>
          <w:rFonts w:cs="Arial"/>
          <w:b/>
          <w:bCs/>
          <w:sz w:val="24"/>
        </w:rPr>
        <w:t>.1.3.3.5</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092DF5C2"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F2D5B">
        <w:rPr>
          <w:rFonts w:ascii="Arial" w:hAnsi="Arial" w:cs="Arial"/>
          <w:b/>
          <w:bCs/>
          <w:sz w:val="24"/>
        </w:rPr>
        <w:t xml:space="preserve">On </w:t>
      </w:r>
      <w:r w:rsidR="009D1C90">
        <w:rPr>
          <w:rFonts w:ascii="Arial" w:hAnsi="Arial" w:cs="Arial"/>
          <w:b/>
          <w:bCs/>
          <w:sz w:val="24"/>
        </w:rPr>
        <w:t>CBG-based (re-)</w:t>
      </w:r>
      <w:r w:rsidR="00DD7602">
        <w:rPr>
          <w:rFonts w:ascii="Arial" w:hAnsi="Arial" w:cs="Arial"/>
          <w:b/>
          <w:bCs/>
          <w:sz w:val="24"/>
        </w:rPr>
        <w:t>transmission</w:t>
      </w:r>
      <w:r w:rsidR="00C11ADE">
        <w:rPr>
          <w:rFonts w:ascii="Arial" w:hAnsi="Arial" w:cs="Arial"/>
          <w:b/>
          <w:bCs/>
          <w:sz w:val="24"/>
        </w:rPr>
        <w:t xml:space="preserve">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61179CAE" w:rsidR="0078539D" w:rsidRDefault="009D1C90" w:rsidP="00986146">
      <w:pPr>
        <w:spacing w:after="120"/>
        <w:jc w:val="both"/>
      </w:pPr>
      <w:r>
        <w:t>In RAN1#88bis, the following has been agreed regarding CBG-based (re-)transmissions with single/multi-bit HARQ-ACK feedback.</w:t>
      </w:r>
    </w:p>
    <w:p w14:paraId="4F518893"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05F161AC" w14:textId="77777777" w:rsidR="009D1C90" w:rsidRPr="009D1C90" w:rsidRDefault="009D1C90" w:rsidP="009D1C90">
      <w:pPr>
        <w:numPr>
          <w:ilvl w:val="0"/>
          <w:numId w:val="21"/>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Confirm the working assumption as below.</w:t>
      </w:r>
    </w:p>
    <w:p w14:paraId="183CB70A" w14:textId="77777777" w:rsidR="009D1C90" w:rsidRPr="009D1C90" w:rsidRDefault="009D1C90" w:rsidP="009D1C90">
      <w:pPr>
        <w:numPr>
          <w:ilvl w:val="1"/>
          <w:numId w:val="21"/>
        </w:numPr>
        <w:tabs>
          <w:tab w:val="clear" w:pos="1440"/>
          <w:tab w:val="num" w:pos="1724"/>
        </w:tabs>
        <w:overflowPunct/>
        <w:autoSpaceDE/>
        <w:autoSpaceDN/>
        <w:adjustRightInd/>
        <w:spacing w:after="0"/>
        <w:ind w:left="1724"/>
        <w:textAlignment w:val="auto"/>
        <w:rPr>
          <w:rFonts w:eastAsia="MS Mincho"/>
          <w:i/>
          <w:iCs/>
          <w:sz w:val="18"/>
          <w:lang w:val="en-US" w:eastAsia="ja-JP"/>
        </w:rPr>
      </w:pPr>
      <w:r w:rsidRPr="009D1C90">
        <w:rPr>
          <w:rFonts w:eastAsia="MS Mincho"/>
          <w:i/>
          <w:iCs/>
          <w:sz w:val="18"/>
          <w:lang w:val="en-US" w:eastAsia="ja-JP"/>
        </w:rPr>
        <w:t>CBG-based transmission with single/multi-bit HARQ-ACK feedback is supported in Rel-15, which shall have the following characteristics:</w:t>
      </w:r>
    </w:p>
    <w:p w14:paraId="6C46ACE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Only allow CBG based (re)-transmission for the same TB of a HARQ process</w:t>
      </w:r>
    </w:p>
    <w:p w14:paraId="6E643BE9"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all CB of a TB regardless of the size of the TB – In the such case, UE reports single HARQ ACK bits for the TB</w:t>
      </w:r>
    </w:p>
    <w:p w14:paraId="165B4EC3"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one CB</w:t>
      </w:r>
    </w:p>
    <w:p w14:paraId="47E93EB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granularity is configurable</w:t>
      </w:r>
    </w:p>
    <w:p w14:paraId="5A17F54E"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642A90B8"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The UE is semi-statically configured by RRC signaling to enable CBG-based retransmission.</w:t>
      </w:r>
    </w:p>
    <w:p w14:paraId="4FFEC573"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 xml:space="preserve">The above </w:t>
      </w:r>
      <w:r w:rsidRPr="009D1C90">
        <w:rPr>
          <w:rFonts w:eastAsia="MS Mincho" w:hint="eastAsia"/>
          <w:i/>
          <w:iCs/>
          <w:sz w:val="18"/>
          <w:lang w:val="en-US" w:eastAsia="ja-JP"/>
        </w:rPr>
        <w:t xml:space="preserve">semi-static </w:t>
      </w:r>
      <w:r w:rsidRPr="009D1C90">
        <w:rPr>
          <w:rFonts w:eastAsia="MS Mincho"/>
          <w:i/>
          <w:iCs/>
          <w:sz w:val="18"/>
          <w:lang w:val="en-US" w:eastAsia="ja-JP"/>
        </w:rPr>
        <w:t>configuration to enable CBG-based retransmission is separate for DL and UL.</w:t>
      </w:r>
    </w:p>
    <w:p w14:paraId="23AD4AE5" w14:textId="77777777" w:rsidR="009D1C90" w:rsidRPr="009D1C90" w:rsidRDefault="009D1C90" w:rsidP="009D1C90">
      <w:pPr>
        <w:ind w:left="284"/>
        <w:rPr>
          <w:rFonts w:eastAsia="MS Mincho"/>
          <w:b/>
          <w:i/>
          <w:iCs/>
          <w:sz w:val="18"/>
          <w:u w:val="single"/>
          <w:lang w:eastAsia="ja-JP"/>
        </w:rPr>
      </w:pPr>
      <w:r w:rsidRPr="009D1C90">
        <w:rPr>
          <w:rFonts w:eastAsia="MS Mincho" w:hint="eastAsia"/>
          <w:b/>
          <w:i/>
          <w:iCs/>
          <w:sz w:val="18"/>
          <w:highlight w:val="green"/>
          <w:u w:val="single"/>
          <w:lang w:val="en-US" w:eastAsia="ja-JP"/>
        </w:rPr>
        <w:t>Agreements:</w:t>
      </w:r>
    </w:p>
    <w:p w14:paraId="4A1EF07C" w14:textId="77777777" w:rsidR="009D1C90" w:rsidRPr="009D1C90" w:rsidRDefault="009D1C90" w:rsidP="009D1C90">
      <w:pPr>
        <w:numPr>
          <w:ilvl w:val="0"/>
          <w:numId w:val="23"/>
        </w:numPr>
        <w:tabs>
          <w:tab w:val="clear" w:pos="360"/>
          <w:tab w:val="num" w:pos="644"/>
        </w:tabs>
        <w:overflowPunct/>
        <w:autoSpaceDE/>
        <w:autoSpaceDN/>
        <w:adjustRightInd/>
        <w:spacing w:after="0"/>
        <w:ind w:left="644"/>
        <w:textAlignment w:val="auto"/>
        <w:rPr>
          <w:rFonts w:eastAsia="MS Mincho"/>
          <w:i/>
          <w:iCs/>
          <w:sz w:val="18"/>
          <w:lang w:val="en-US" w:eastAsia="ja-JP"/>
        </w:rPr>
      </w:pPr>
      <w:r w:rsidRPr="009D1C90">
        <w:rPr>
          <w:rFonts w:eastAsia="MS Mincho"/>
          <w:i/>
          <w:iCs/>
          <w:sz w:val="18"/>
          <w:lang w:val="en-US" w:eastAsia="ja-JP"/>
        </w:rPr>
        <w:t>For grouping CB(s) into CBG(s), the following options can be considered.</w:t>
      </w:r>
    </w:p>
    <w:p w14:paraId="1FFC8EDB" w14:textId="77777777" w:rsidR="009D1C90" w:rsidRPr="009D1C90"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
          <w:iCs/>
          <w:sz w:val="18"/>
          <w:lang w:val="en-US" w:eastAsia="ja-JP"/>
        </w:rPr>
      </w:pPr>
      <w:r w:rsidRPr="009D1C90">
        <w:rPr>
          <w:rFonts w:eastAsia="MS Mincho"/>
          <w:i/>
          <w:iCs/>
          <w:sz w:val="18"/>
          <w:lang w:val="en-US" w:eastAsia="ja-JP"/>
        </w:rPr>
        <w:t>Option 1: With configured number of CBGs, the number of CBs in a CBG changes according to TBS.</w:t>
      </w:r>
    </w:p>
    <w:p w14:paraId="370117D0" w14:textId="77777777" w:rsidR="009D1C90" w:rsidRPr="009D1C90" w:rsidRDefault="009D1C90" w:rsidP="009D1C90">
      <w:pPr>
        <w:numPr>
          <w:ilvl w:val="2"/>
          <w:numId w:val="23"/>
        </w:numPr>
        <w:tabs>
          <w:tab w:val="clear" w:pos="1800"/>
          <w:tab w:val="num" w:pos="2084"/>
          <w:tab w:val="num" w:pos="2160"/>
        </w:tabs>
        <w:overflowPunct/>
        <w:autoSpaceDE/>
        <w:autoSpaceDN/>
        <w:adjustRightInd/>
        <w:spacing w:after="0"/>
        <w:ind w:left="2084"/>
        <w:textAlignment w:val="auto"/>
        <w:rPr>
          <w:rFonts w:eastAsia="MS Mincho"/>
          <w:i/>
          <w:iCs/>
          <w:sz w:val="18"/>
          <w:lang w:val="en-US" w:eastAsia="ja-JP"/>
        </w:rPr>
      </w:pPr>
      <w:r w:rsidRPr="009D1C90">
        <w:rPr>
          <w:rFonts w:eastAsia="MS Mincho"/>
          <w:i/>
          <w:iCs/>
          <w:sz w:val="18"/>
          <w:lang w:val="en-US" w:eastAsia="ja-JP"/>
        </w:rPr>
        <w:t>FFS for the case of re-transmission or the case when the number of CBs is smaller than the configured number of CBGs</w:t>
      </w:r>
    </w:p>
    <w:p w14:paraId="3FFB5F81" w14:textId="77777777" w:rsidR="009D1C90" w:rsidRPr="009D1C90"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
          <w:iCs/>
          <w:sz w:val="18"/>
          <w:lang w:val="en-US" w:eastAsia="ja-JP"/>
        </w:rPr>
      </w:pPr>
      <w:r w:rsidRPr="009D1C90">
        <w:rPr>
          <w:rFonts w:eastAsia="MS Mincho"/>
          <w:i/>
          <w:iCs/>
          <w:sz w:val="18"/>
          <w:lang w:val="en-US" w:eastAsia="ja-JP"/>
        </w:rPr>
        <w:t>Option 2: With configured number of CBs per CBG, the number of CBGs changes according to TBS.</w:t>
      </w:r>
    </w:p>
    <w:p w14:paraId="298BA2A5" w14:textId="77777777" w:rsidR="009D1C90" w:rsidRPr="009D1C90"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
          <w:iCs/>
          <w:sz w:val="18"/>
          <w:lang w:val="en-US" w:eastAsia="ja-JP"/>
        </w:rPr>
      </w:pPr>
      <w:r w:rsidRPr="009D1C90">
        <w:rPr>
          <w:rFonts w:eastAsia="MS Mincho"/>
          <w:i/>
          <w:iCs/>
          <w:sz w:val="18"/>
          <w:lang w:val="en-US" w:eastAsia="ja-JP"/>
        </w:rPr>
        <w:t>Option 3: The number of CBGs and/or the number CBs per CBG are defined according to TBS.</w:t>
      </w:r>
    </w:p>
    <w:p w14:paraId="6CEB520E" w14:textId="77777777" w:rsidR="009D1C90" w:rsidRPr="009D1C90" w:rsidRDefault="009D1C90" w:rsidP="009D1C90">
      <w:pPr>
        <w:numPr>
          <w:ilvl w:val="2"/>
          <w:numId w:val="23"/>
        </w:numPr>
        <w:tabs>
          <w:tab w:val="clear" w:pos="1800"/>
          <w:tab w:val="num" w:pos="2084"/>
        </w:tabs>
        <w:overflowPunct/>
        <w:autoSpaceDE/>
        <w:autoSpaceDN/>
        <w:adjustRightInd/>
        <w:spacing w:after="0"/>
        <w:ind w:left="2084"/>
        <w:textAlignment w:val="auto"/>
        <w:rPr>
          <w:rFonts w:eastAsia="MS Mincho"/>
          <w:i/>
          <w:iCs/>
          <w:sz w:val="18"/>
          <w:lang w:val="en-US" w:eastAsia="ja-JP"/>
        </w:rPr>
      </w:pPr>
      <w:r w:rsidRPr="009D1C90">
        <w:rPr>
          <w:rFonts w:eastAsia="MS Mincho"/>
          <w:i/>
          <w:iCs/>
          <w:sz w:val="18"/>
          <w:lang w:val="en-US" w:eastAsia="ja-JP"/>
        </w:rPr>
        <w:t>FFS: for the case of re-transmission</w:t>
      </w:r>
    </w:p>
    <w:p w14:paraId="1AB7D32E" w14:textId="77777777" w:rsidR="009D1C90" w:rsidRPr="009D1C90"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
          <w:iCs/>
          <w:sz w:val="18"/>
          <w:lang w:val="en-US" w:eastAsia="ja-JP"/>
        </w:rPr>
      </w:pPr>
      <w:r w:rsidRPr="009D1C90">
        <w:rPr>
          <w:rFonts w:eastAsia="MS Mincho"/>
          <w:i/>
          <w:iCs/>
          <w:sz w:val="18"/>
          <w:lang w:val="en-US" w:eastAsia="ja-JP"/>
        </w:rPr>
        <w:t>FFS on details of each option</w:t>
      </w:r>
    </w:p>
    <w:p w14:paraId="192D5B5D" w14:textId="77777777" w:rsidR="009D1C90" w:rsidRPr="009D1C90"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
          <w:iCs/>
          <w:sz w:val="18"/>
          <w:lang w:val="en-US" w:eastAsia="ja-JP"/>
        </w:rPr>
      </w:pPr>
      <w:r w:rsidRPr="009D1C90">
        <w:rPr>
          <w:rFonts w:eastAsia="MS Mincho"/>
          <w:i/>
          <w:iCs/>
          <w:sz w:val="18"/>
          <w:lang w:val="en-US" w:eastAsia="ja-JP"/>
        </w:rPr>
        <w:t>FFS: CBG is approximately aligned with symbol(s)</w:t>
      </w:r>
    </w:p>
    <w:p w14:paraId="7C16B57B" w14:textId="77777777" w:rsidR="009D1C90" w:rsidRPr="0065763E" w:rsidRDefault="009D1C90" w:rsidP="009D1C90">
      <w:pPr>
        <w:numPr>
          <w:ilvl w:val="1"/>
          <w:numId w:val="23"/>
        </w:numPr>
        <w:tabs>
          <w:tab w:val="clear" w:pos="1080"/>
          <w:tab w:val="num" w:pos="1364"/>
        </w:tabs>
        <w:overflowPunct/>
        <w:autoSpaceDE/>
        <w:autoSpaceDN/>
        <w:adjustRightInd/>
        <w:spacing w:after="0"/>
        <w:ind w:left="1364"/>
        <w:textAlignment w:val="auto"/>
        <w:rPr>
          <w:rFonts w:eastAsia="MS Mincho"/>
          <w:iCs/>
          <w:lang w:val="en-US" w:eastAsia="ja-JP"/>
        </w:rPr>
      </w:pPr>
      <w:r w:rsidRPr="009D1C90">
        <w:rPr>
          <w:rFonts w:eastAsia="MS Mincho"/>
          <w:i/>
          <w:iCs/>
          <w:sz w:val="18"/>
          <w:lang w:val="en-US" w:eastAsia="ja-JP"/>
        </w:rPr>
        <w:t>Other options are not precluded</w:t>
      </w:r>
    </w:p>
    <w:p w14:paraId="2A59AF8F" w14:textId="61E2BBBD" w:rsidR="00DB040B" w:rsidRDefault="00DB040B" w:rsidP="00986146">
      <w:pPr>
        <w:spacing w:after="120"/>
        <w:jc w:val="both"/>
        <w:rPr>
          <w:lang w:val="en-US"/>
        </w:rPr>
      </w:pPr>
    </w:p>
    <w:p w14:paraId="52493D84" w14:textId="1747C149" w:rsidR="009D1C90" w:rsidRDefault="009D1C90" w:rsidP="00986146">
      <w:pPr>
        <w:spacing w:after="120"/>
        <w:jc w:val="both"/>
        <w:rPr>
          <w:lang w:val="en-US"/>
        </w:rPr>
      </w:pPr>
      <w:r>
        <w:rPr>
          <w:lang w:val="en-US"/>
        </w:rPr>
        <w:t xml:space="preserve">There is also </w:t>
      </w:r>
      <w:r w:rsidR="00ED58A7">
        <w:rPr>
          <w:lang w:val="en-US"/>
        </w:rPr>
        <w:t>consideration on</w:t>
      </w:r>
      <w:r w:rsidR="00CE376B">
        <w:rPr>
          <w:lang w:val="en-US"/>
        </w:rPr>
        <w:t xml:space="preserve"> </w:t>
      </w:r>
      <w:r>
        <w:rPr>
          <w:lang w:val="en-US"/>
        </w:rPr>
        <w:t>using the same mechanism to handle the (re-)transmission of the pre-empted PDSCH of eMBB UEs in case of eMBB/URLLC multiplexing in DL</w:t>
      </w:r>
      <w:r w:rsidR="00ED58A7">
        <w:rPr>
          <w:lang w:val="en-US"/>
        </w:rPr>
        <w:t>, as discussed in our companion contribution</w:t>
      </w:r>
      <w:r>
        <w:rPr>
          <w:lang w:val="en-US"/>
        </w:rPr>
        <w:t xml:space="preserve"> </w:t>
      </w:r>
      <w:r w:rsidR="000306E6">
        <w:rPr>
          <w:lang w:val="en-US"/>
        </w:rPr>
        <w:t>[1]</w:t>
      </w:r>
      <w:r w:rsidR="00ED58A7">
        <w:rPr>
          <w:lang w:val="en-US"/>
        </w:rPr>
        <w:t>.</w:t>
      </w:r>
    </w:p>
    <w:p w14:paraId="055833CB" w14:textId="382CD951" w:rsidR="00AE61B2" w:rsidRPr="002C5510" w:rsidRDefault="00AE61B2" w:rsidP="00986146">
      <w:pPr>
        <w:spacing w:after="120"/>
        <w:jc w:val="both"/>
        <w:rPr>
          <w:lang w:val="en-US"/>
        </w:rPr>
      </w:pPr>
      <w:r>
        <w:rPr>
          <w:lang w:val="en-US"/>
        </w:rPr>
        <w:t xml:space="preserve">In this contribution, we discuss </w:t>
      </w:r>
      <w:r w:rsidR="009D1C90">
        <w:rPr>
          <w:lang w:val="en-US"/>
        </w:rPr>
        <w:t>the further details regarding the CBG-based (re-)transmission.</w:t>
      </w:r>
    </w:p>
    <w:p w14:paraId="30E0296E" w14:textId="16A067A0" w:rsidR="004B23AD" w:rsidRDefault="008D4B8A" w:rsidP="004B23AD">
      <w:pPr>
        <w:pStyle w:val="Heading1"/>
      </w:pPr>
      <w:r>
        <w:rPr>
          <w:color w:val="000000"/>
        </w:rPr>
        <w:t>2</w:t>
      </w:r>
      <w:r w:rsidR="004B23AD" w:rsidRPr="00A51522">
        <w:rPr>
          <w:color w:val="000000"/>
        </w:rPr>
        <w:tab/>
      </w:r>
      <w:r w:rsidR="009D1C90">
        <w:rPr>
          <w:color w:val="000000"/>
        </w:rPr>
        <w:t>CBG grouping</w:t>
      </w:r>
    </w:p>
    <w:p w14:paraId="0670EE6E" w14:textId="24CC0B44" w:rsidR="00CE376B" w:rsidRDefault="00CE376B" w:rsidP="003B3C64">
      <w:pPr>
        <w:spacing w:after="120"/>
        <w:jc w:val="both"/>
        <w:rPr>
          <w:rFonts w:eastAsia="MS Mincho"/>
          <w:lang w:val="en-US" w:eastAsia="ja-JP"/>
        </w:rPr>
      </w:pPr>
      <w:r>
        <w:rPr>
          <w:rFonts w:eastAsia="MS Mincho"/>
          <w:lang w:val="en-US" w:eastAsia="ja-JP"/>
        </w:rPr>
        <w:t>For CBG-based transmission with single/multi-bit HARQ-ACK feedback, the general assumption is that there is one HARQ-ACK feedback bit per CBG. So the number of CBGs will determine the number of HARQ-ACK feedback bits for a TB. The CBG size determines the granularity of the retransmission, which affects the performance gain from the CBG-based retransmission.</w:t>
      </w:r>
      <w:r w:rsidR="005B78B6">
        <w:rPr>
          <w:rFonts w:eastAsia="MS Mincho"/>
          <w:lang w:val="en-US" w:eastAsia="ja-JP"/>
        </w:rPr>
        <w:t xml:space="preserve"> So there is a tradeoff between the feedback overhead and performance gain. In addition, the complexity should also be taken into account.</w:t>
      </w:r>
    </w:p>
    <w:p w14:paraId="17E03623" w14:textId="0BB5085C" w:rsidR="009D1C90" w:rsidRDefault="00CE376B" w:rsidP="003B3C64">
      <w:pPr>
        <w:spacing w:after="120"/>
        <w:jc w:val="both"/>
        <w:rPr>
          <w:rFonts w:eastAsia="MS Mincho"/>
          <w:lang w:val="en-US" w:eastAsia="ja-JP"/>
        </w:rPr>
      </w:pPr>
      <w:r>
        <w:rPr>
          <w:rFonts w:eastAsia="MS Mincho"/>
          <w:lang w:val="en-US" w:eastAsia="ja-JP"/>
        </w:rPr>
        <w:t>There are 3 options that have been identi</w:t>
      </w:r>
      <w:r w:rsidR="001F0217">
        <w:rPr>
          <w:rFonts w:eastAsia="MS Mincho"/>
          <w:lang w:val="en-US" w:eastAsia="ja-JP"/>
        </w:rPr>
        <w:t xml:space="preserve">fied to group CB(s) into CBG(s). Option 1 results in a fixed number of HARQ-ACK feedback bits per TB, while Option 2 and option 3 result in a variable number of HARQ-ACK feedback bits per TB. </w:t>
      </w:r>
      <w:r w:rsidR="00132E7C">
        <w:rPr>
          <w:rFonts w:eastAsia="MS Mincho"/>
          <w:lang w:val="en-US" w:eastAsia="ja-JP"/>
        </w:rPr>
        <w:t xml:space="preserve">It has been agreed in RAN1#88bis that </w:t>
      </w:r>
      <w:r w:rsidR="00132E7C" w:rsidRPr="00132E7C">
        <w:rPr>
          <w:rFonts w:eastAsia="MS Mincho"/>
          <w:lang w:val="en-US" w:eastAsia="ja-JP"/>
        </w:rPr>
        <w:t xml:space="preserve">HARQ-ACK multiplexing for multiple PDSCHs of one or more carriers is </w:t>
      </w:r>
      <w:bookmarkStart w:id="0" w:name="_GoBack"/>
      <w:bookmarkEnd w:id="0"/>
      <w:r w:rsidR="00132E7C" w:rsidRPr="00132E7C">
        <w:rPr>
          <w:rFonts w:eastAsia="MS Mincho"/>
          <w:lang w:val="en-US" w:eastAsia="ja-JP"/>
        </w:rPr>
        <w:t>supported.</w:t>
      </w:r>
      <w:r w:rsidR="00132E7C">
        <w:rPr>
          <w:rFonts w:eastAsia="MS Mincho"/>
          <w:lang w:val="en-US" w:eastAsia="ja-JP"/>
        </w:rPr>
        <w:t xml:space="preserve"> As discussed in our </w:t>
      </w:r>
      <w:r w:rsidR="00132E7C" w:rsidRPr="00B52419">
        <w:rPr>
          <w:rFonts w:eastAsia="MS Mincho"/>
          <w:lang w:val="en-US" w:eastAsia="ja-JP"/>
        </w:rPr>
        <w:t>companion contribution [</w:t>
      </w:r>
      <w:r w:rsidR="000306E6" w:rsidRPr="00B52419">
        <w:rPr>
          <w:rFonts w:eastAsia="MS Mincho"/>
          <w:lang w:val="en-US" w:eastAsia="ja-JP"/>
        </w:rPr>
        <w:t>2</w:t>
      </w:r>
      <w:r w:rsidR="00132E7C" w:rsidRPr="00B52419">
        <w:rPr>
          <w:rFonts w:eastAsia="MS Mincho"/>
          <w:lang w:val="en-US" w:eastAsia="ja-JP"/>
        </w:rPr>
        <w:t>], it becomes necessary to support</w:t>
      </w:r>
      <w:r w:rsidR="00132E7C">
        <w:rPr>
          <w:rFonts w:eastAsia="MS Mincho"/>
          <w:lang w:val="en-US" w:eastAsia="ja-JP"/>
        </w:rPr>
        <w:t xml:space="preserve"> dynamic DL association set and HARQ-ACK codebook size when the HARQ-ACK</w:t>
      </w:r>
      <w:r w:rsidR="00BD71A1">
        <w:rPr>
          <w:rFonts w:eastAsia="MS Mincho"/>
          <w:lang w:val="en-US" w:eastAsia="ja-JP"/>
        </w:rPr>
        <w:t xml:space="preserve"> timing</w:t>
      </w:r>
      <w:r w:rsidR="00132E7C">
        <w:rPr>
          <w:rFonts w:eastAsia="MS Mincho"/>
          <w:lang w:val="en-US" w:eastAsia="ja-JP"/>
        </w:rPr>
        <w:t xml:space="preserve"> is dynamically indicated. Correspondingly, mechanisms are necessary to handle error cases when one or more DL assignments are not successfully received. In LTE, DAI has been used for error case handling. When </w:t>
      </w:r>
      <w:r w:rsidR="008F505A">
        <w:rPr>
          <w:rFonts w:eastAsia="MS Mincho"/>
          <w:lang w:val="en-US" w:eastAsia="ja-JP"/>
        </w:rPr>
        <w:t xml:space="preserve">the number of HARQ-ACK bits per TB is variable, larger range of variation </w:t>
      </w:r>
      <w:r w:rsidR="008F505A">
        <w:rPr>
          <w:rFonts w:eastAsia="MS Mincho"/>
          <w:lang w:val="en-US" w:eastAsia="ja-JP"/>
        </w:rPr>
        <w:lastRenderedPageBreak/>
        <w:t>would require more states for DAI (i.e. larger overhead in DCI) to avoid ambiguity. Even though it has not been discussed in NR whether a similar mechanism would be used, it is generally expected that a variable size would be more complicated to handle, especially if the maximum size is not a small value. So from this perspective, fixed number of HARQ-ACK feedback bits per TB has its advantage.</w:t>
      </w:r>
    </w:p>
    <w:p w14:paraId="70E0ACDC" w14:textId="198C729B" w:rsidR="008F505A" w:rsidRDefault="008F505A" w:rsidP="003B3C64">
      <w:pPr>
        <w:spacing w:after="120"/>
        <w:jc w:val="both"/>
        <w:rPr>
          <w:rFonts w:eastAsia="MS Mincho"/>
          <w:lang w:val="en-US" w:eastAsia="ja-JP"/>
        </w:rPr>
      </w:pPr>
      <w:r>
        <w:rPr>
          <w:rFonts w:eastAsia="MS Mincho"/>
          <w:lang w:val="en-US" w:eastAsia="ja-JP"/>
        </w:rPr>
        <w:t>Here we analyze the pros and cons of the 3 options:</w:t>
      </w:r>
    </w:p>
    <w:p w14:paraId="4919A2E6" w14:textId="5F6AF785" w:rsidR="009D1C90" w:rsidRDefault="009D1C90" w:rsidP="001F0217">
      <w:pPr>
        <w:overflowPunct/>
        <w:autoSpaceDE/>
        <w:autoSpaceDN/>
        <w:adjustRightInd/>
        <w:spacing w:after="0"/>
        <w:textAlignment w:val="auto"/>
        <w:rPr>
          <w:rFonts w:eastAsia="Times New Roman"/>
          <w:lang w:val="en-US"/>
        </w:rPr>
      </w:pPr>
      <w:r w:rsidRPr="001F0217">
        <w:rPr>
          <w:rFonts w:eastAsia="Times New Roman"/>
          <w:b/>
          <w:u w:val="single"/>
        </w:rPr>
        <w:t>Option 1</w:t>
      </w:r>
      <w:r>
        <w:rPr>
          <w:rFonts w:eastAsia="Times New Roman"/>
        </w:rPr>
        <w:t xml:space="preserve"> (</w:t>
      </w:r>
      <w:r w:rsidR="001F0217" w:rsidRPr="001F0217">
        <w:rPr>
          <w:rFonts w:eastAsia="Times New Roman"/>
        </w:rPr>
        <w:t>With configured number of CBGs, the number of CBs in a CBG changes according to TBS</w:t>
      </w:r>
      <w:r>
        <w:rPr>
          <w:rFonts w:eastAsia="Times New Roman"/>
        </w:rPr>
        <w:t>):</w:t>
      </w:r>
    </w:p>
    <w:p w14:paraId="778B222D" w14:textId="09F92076" w:rsidR="009D1C90" w:rsidRDefault="009D1C90" w:rsidP="008F505A">
      <w:pPr>
        <w:numPr>
          <w:ilvl w:val="0"/>
          <w:numId w:val="24"/>
        </w:numPr>
        <w:overflowPunct/>
        <w:autoSpaceDE/>
        <w:autoSpaceDN/>
        <w:adjustRightInd/>
        <w:spacing w:after="0"/>
        <w:textAlignment w:val="auto"/>
        <w:rPr>
          <w:rFonts w:eastAsia="Times New Roman"/>
        </w:rPr>
      </w:pPr>
      <w:r>
        <w:rPr>
          <w:rFonts w:eastAsia="Times New Roman"/>
        </w:rPr>
        <w:t xml:space="preserve">Fixed number of </w:t>
      </w:r>
      <w:r w:rsidR="00364B24">
        <w:rPr>
          <w:rFonts w:eastAsia="MS Mincho"/>
          <w:lang w:val="en-US" w:eastAsia="ja-JP"/>
        </w:rPr>
        <w:t xml:space="preserve">HARQ-ACK </w:t>
      </w:r>
      <w:r>
        <w:rPr>
          <w:rFonts w:eastAsia="Times New Roman"/>
        </w:rPr>
        <w:t xml:space="preserve">feedback bits per TB </w:t>
      </w:r>
      <w:r w:rsidR="00364B24">
        <w:rPr>
          <w:rFonts w:eastAsia="Times New Roman"/>
        </w:rPr>
        <w:t>can make the error case handling easier</w:t>
      </w:r>
      <w:r>
        <w:rPr>
          <w:rFonts w:eastAsia="Times New Roman"/>
        </w:rPr>
        <w:t xml:space="preserve"> </w:t>
      </w:r>
      <w:r w:rsidR="00364B24">
        <w:rPr>
          <w:rFonts w:eastAsia="Times New Roman"/>
        </w:rPr>
        <w:t xml:space="preserve">(or less DCI overhead) </w:t>
      </w:r>
      <w:r>
        <w:rPr>
          <w:rFonts w:eastAsia="Times New Roman"/>
        </w:rPr>
        <w:t xml:space="preserve">when </w:t>
      </w:r>
      <w:r w:rsidR="00364B24">
        <w:rPr>
          <w:rFonts w:eastAsia="MS Mincho"/>
          <w:lang w:val="en-US" w:eastAsia="ja-JP"/>
        </w:rPr>
        <w:t xml:space="preserve">HARQ-ACK bits </w:t>
      </w:r>
      <w:r>
        <w:rPr>
          <w:rFonts w:eastAsia="Times New Roman"/>
        </w:rPr>
        <w:t>are multiplexed across multiple slots</w:t>
      </w:r>
      <w:r w:rsidR="00364B24">
        <w:rPr>
          <w:rFonts w:eastAsia="Times New Roman"/>
        </w:rPr>
        <w:t>.</w:t>
      </w:r>
    </w:p>
    <w:p w14:paraId="2FAB0346" w14:textId="3355979D" w:rsidR="009D1C90" w:rsidRDefault="009D1C90" w:rsidP="008F505A">
      <w:pPr>
        <w:numPr>
          <w:ilvl w:val="0"/>
          <w:numId w:val="24"/>
        </w:numPr>
        <w:overflowPunct/>
        <w:autoSpaceDE/>
        <w:autoSpaceDN/>
        <w:adjustRightInd/>
        <w:spacing w:after="0"/>
        <w:textAlignment w:val="auto"/>
        <w:rPr>
          <w:rFonts w:eastAsia="Times New Roman"/>
        </w:rPr>
      </w:pPr>
      <w:r>
        <w:rPr>
          <w:rFonts w:eastAsia="Times New Roman"/>
        </w:rPr>
        <w:t xml:space="preserve">There may be some unused bits in </w:t>
      </w:r>
      <w:r w:rsidR="00364B24">
        <w:rPr>
          <w:rFonts w:eastAsia="Times New Roman"/>
        </w:rPr>
        <w:t>HARQ-ACK</w:t>
      </w:r>
      <w:r>
        <w:rPr>
          <w:rFonts w:eastAsia="Times New Roman"/>
        </w:rPr>
        <w:t xml:space="preserve"> feedback </w:t>
      </w:r>
      <w:r w:rsidR="00364B24">
        <w:rPr>
          <w:rFonts w:eastAsia="Times New Roman"/>
        </w:rPr>
        <w:t>when</w:t>
      </w:r>
      <w:r>
        <w:rPr>
          <w:rFonts w:eastAsia="Times New Roman"/>
        </w:rPr>
        <w:t xml:space="preserve"> the number of CBs in a TB is less than the configured number of CBGs</w:t>
      </w:r>
      <w:r w:rsidR="00364B24">
        <w:rPr>
          <w:rFonts w:eastAsia="Times New Roman"/>
        </w:rPr>
        <w:t>. This may be considered as</w:t>
      </w:r>
      <w:r>
        <w:rPr>
          <w:rFonts w:eastAsia="Times New Roman"/>
        </w:rPr>
        <w:t xml:space="preserve"> unnecessary overhead</w:t>
      </w:r>
      <w:r w:rsidR="00364B24">
        <w:rPr>
          <w:rFonts w:eastAsia="Times New Roman"/>
        </w:rPr>
        <w:t>.</w:t>
      </w:r>
    </w:p>
    <w:p w14:paraId="4EA94FB3" w14:textId="61181A44" w:rsidR="009D1C90" w:rsidRDefault="009D1C90" w:rsidP="008F505A">
      <w:pPr>
        <w:numPr>
          <w:ilvl w:val="1"/>
          <w:numId w:val="24"/>
        </w:numPr>
        <w:overflowPunct/>
        <w:autoSpaceDE/>
        <w:autoSpaceDN/>
        <w:adjustRightInd/>
        <w:spacing w:after="0"/>
        <w:textAlignment w:val="auto"/>
        <w:rPr>
          <w:rFonts w:eastAsia="Times New Roman"/>
        </w:rPr>
      </w:pPr>
      <w:r>
        <w:rPr>
          <w:rFonts w:eastAsia="Times New Roman"/>
        </w:rPr>
        <w:t xml:space="preserve">However, if the states are predefined for these unused bits, the decoder can use the </w:t>
      </w:r>
      <w:r w:rsidR="00364B24">
        <w:rPr>
          <w:rFonts w:eastAsia="Times New Roman"/>
        </w:rPr>
        <w:t xml:space="preserve">a priori </w:t>
      </w:r>
      <w:r>
        <w:rPr>
          <w:rFonts w:eastAsia="Times New Roman"/>
        </w:rPr>
        <w:t xml:space="preserve">info </w:t>
      </w:r>
      <w:r w:rsidR="00364B24">
        <w:rPr>
          <w:rFonts w:eastAsia="Times New Roman"/>
        </w:rPr>
        <w:t xml:space="preserve">in decoding, and the </w:t>
      </w:r>
      <w:r>
        <w:rPr>
          <w:rFonts w:eastAsia="Times New Roman"/>
        </w:rPr>
        <w:t>performance should not be affected much.</w:t>
      </w:r>
    </w:p>
    <w:p w14:paraId="50635381" w14:textId="5B394A0B" w:rsidR="009D1C90" w:rsidRDefault="00364B24" w:rsidP="008F505A">
      <w:pPr>
        <w:numPr>
          <w:ilvl w:val="1"/>
          <w:numId w:val="24"/>
        </w:numPr>
        <w:overflowPunct/>
        <w:autoSpaceDE/>
        <w:autoSpaceDN/>
        <w:adjustRightInd/>
        <w:spacing w:after="0"/>
        <w:textAlignment w:val="auto"/>
        <w:rPr>
          <w:rFonts w:eastAsia="Times New Roman"/>
        </w:rPr>
      </w:pPr>
      <w:r>
        <w:rPr>
          <w:rFonts w:eastAsia="Times New Roman"/>
        </w:rPr>
        <w:t>I</w:t>
      </w:r>
      <w:r w:rsidR="009D1C90">
        <w:rPr>
          <w:rFonts w:eastAsia="Times New Roman"/>
        </w:rPr>
        <w:t xml:space="preserve">t </w:t>
      </w:r>
      <w:r>
        <w:rPr>
          <w:rFonts w:eastAsia="Times New Roman"/>
        </w:rPr>
        <w:t xml:space="preserve">sometimes </w:t>
      </w:r>
      <w:r w:rsidR="009D1C90">
        <w:rPr>
          <w:rFonts w:eastAsia="Times New Roman"/>
        </w:rPr>
        <w:t>may need a larger</w:t>
      </w:r>
      <w:r>
        <w:rPr>
          <w:rFonts w:eastAsia="Times New Roman"/>
        </w:rPr>
        <w:t xml:space="preserve"> PUCCH container than necessary. But the container and PUCCH resource should be configured according to the worst case scenario, so this should not be an issue.</w:t>
      </w:r>
    </w:p>
    <w:p w14:paraId="0D874EAA" w14:textId="4C4E1EF5" w:rsidR="009D1C90" w:rsidRPr="00364B24" w:rsidRDefault="009D1C90" w:rsidP="00364B24">
      <w:pPr>
        <w:overflowPunct/>
        <w:autoSpaceDE/>
        <w:autoSpaceDN/>
        <w:adjustRightInd/>
        <w:spacing w:after="0"/>
        <w:textAlignment w:val="auto"/>
        <w:rPr>
          <w:rFonts w:eastAsia="Times New Roman"/>
          <w:b/>
          <w:u w:val="single"/>
        </w:rPr>
      </w:pPr>
      <w:r w:rsidRPr="00364B24">
        <w:rPr>
          <w:rFonts w:eastAsia="Times New Roman"/>
          <w:b/>
          <w:u w:val="single"/>
        </w:rPr>
        <w:t>Option 2</w:t>
      </w:r>
      <w:r w:rsidRPr="00364B24">
        <w:rPr>
          <w:rFonts w:eastAsia="Times New Roman"/>
        </w:rPr>
        <w:t xml:space="preserve"> (</w:t>
      </w:r>
      <w:r w:rsidR="00364B24" w:rsidRPr="00364B24">
        <w:rPr>
          <w:rFonts w:eastAsia="Times New Roman"/>
        </w:rPr>
        <w:t>With configured number of CBs per CBG, the number of CBGs changes according to TBS.</w:t>
      </w:r>
      <w:r w:rsidRPr="00364B24">
        <w:rPr>
          <w:rFonts w:eastAsia="Times New Roman"/>
        </w:rPr>
        <w:t>)</w:t>
      </w:r>
    </w:p>
    <w:p w14:paraId="6780CF3D" w14:textId="79B0AD66" w:rsidR="00364B24" w:rsidRDefault="00364B24" w:rsidP="00364B24">
      <w:pPr>
        <w:numPr>
          <w:ilvl w:val="0"/>
          <w:numId w:val="24"/>
        </w:numPr>
        <w:overflowPunct/>
        <w:autoSpaceDE/>
        <w:autoSpaceDN/>
        <w:adjustRightInd/>
        <w:spacing w:after="0"/>
        <w:textAlignment w:val="auto"/>
        <w:rPr>
          <w:rFonts w:eastAsia="Times New Roman"/>
        </w:rPr>
      </w:pPr>
      <w:r>
        <w:rPr>
          <w:rFonts w:eastAsia="Times New Roman"/>
        </w:rPr>
        <w:t xml:space="preserve">Variable number of </w:t>
      </w:r>
      <w:r>
        <w:rPr>
          <w:rFonts w:eastAsia="MS Mincho"/>
          <w:lang w:val="en-US" w:eastAsia="ja-JP"/>
        </w:rPr>
        <w:t>HARQ-ACK</w:t>
      </w:r>
      <w:r>
        <w:rPr>
          <w:rFonts w:eastAsia="Times New Roman"/>
        </w:rPr>
        <w:t xml:space="preserve"> feedback bits per TB can make the error case handling more difficult (or larger DCI overhead) when </w:t>
      </w:r>
      <w:r>
        <w:rPr>
          <w:rFonts w:eastAsia="MS Mincho"/>
          <w:lang w:val="en-US" w:eastAsia="ja-JP"/>
        </w:rPr>
        <w:t xml:space="preserve">HARQ-ACK bits </w:t>
      </w:r>
      <w:r>
        <w:rPr>
          <w:rFonts w:eastAsia="Times New Roman"/>
        </w:rPr>
        <w:t>are multiplexed across multiple slots.</w:t>
      </w:r>
    </w:p>
    <w:p w14:paraId="3CBA81F2" w14:textId="0FED861E" w:rsidR="003C787F" w:rsidRDefault="003C787F" w:rsidP="00364B24">
      <w:pPr>
        <w:numPr>
          <w:ilvl w:val="0"/>
          <w:numId w:val="24"/>
        </w:numPr>
        <w:overflowPunct/>
        <w:autoSpaceDE/>
        <w:autoSpaceDN/>
        <w:adjustRightInd/>
        <w:spacing w:after="0"/>
        <w:textAlignment w:val="auto"/>
        <w:rPr>
          <w:rFonts w:eastAsia="Times New Roman"/>
        </w:rPr>
      </w:pPr>
      <w:r>
        <w:rPr>
          <w:rFonts w:eastAsia="Times New Roman"/>
        </w:rPr>
        <w:t>It is somewhat challenging to configure the appropriate value for the number of CBs per CBG.</w:t>
      </w:r>
    </w:p>
    <w:p w14:paraId="1AE17839" w14:textId="47FF0737" w:rsidR="009D1C90" w:rsidRDefault="009D1C90" w:rsidP="003C787F">
      <w:pPr>
        <w:numPr>
          <w:ilvl w:val="1"/>
          <w:numId w:val="24"/>
        </w:numPr>
        <w:overflowPunct/>
        <w:autoSpaceDE/>
        <w:autoSpaceDN/>
        <w:adjustRightInd/>
        <w:spacing w:after="0"/>
        <w:textAlignment w:val="auto"/>
        <w:rPr>
          <w:rFonts w:eastAsia="Times New Roman"/>
        </w:rPr>
      </w:pPr>
      <w:r>
        <w:rPr>
          <w:rFonts w:eastAsia="Times New Roman"/>
        </w:rPr>
        <w:t xml:space="preserve">If the CBG size is configured </w:t>
      </w:r>
      <w:r w:rsidR="003C787F">
        <w:rPr>
          <w:rFonts w:eastAsia="Times New Roman"/>
        </w:rPr>
        <w:t xml:space="preserve">too </w:t>
      </w:r>
      <w:r>
        <w:rPr>
          <w:rFonts w:eastAsia="Times New Roman"/>
        </w:rPr>
        <w:t>small, it can potentially have a large number o</w:t>
      </w:r>
      <w:r w:rsidR="003C787F">
        <w:rPr>
          <w:rFonts w:eastAsia="Times New Roman"/>
        </w:rPr>
        <w:t>f CBGs, or a large number of HARQ-ACK</w:t>
      </w:r>
      <w:r>
        <w:rPr>
          <w:rFonts w:eastAsia="Times New Roman"/>
        </w:rPr>
        <w:t xml:space="preserve"> bits, for large TBS.</w:t>
      </w:r>
    </w:p>
    <w:p w14:paraId="56CDD97B" w14:textId="7DA0C03C" w:rsidR="009D1C90" w:rsidRDefault="009D1C90" w:rsidP="003C787F">
      <w:pPr>
        <w:numPr>
          <w:ilvl w:val="2"/>
          <w:numId w:val="24"/>
        </w:numPr>
        <w:overflowPunct/>
        <w:autoSpaceDE/>
        <w:autoSpaceDN/>
        <w:adjustRightInd/>
        <w:spacing w:after="0"/>
        <w:textAlignment w:val="auto"/>
        <w:rPr>
          <w:rFonts w:eastAsia="Times New Roman"/>
        </w:rPr>
      </w:pPr>
      <w:r>
        <w:rPr>
          <w:rFonts w:eastAsia="Times New Roman"/>
        </w:rPr>
        <w:t xml:space="preserve">We could put a limit on the max number of CBGs, but that would essentially become </w:t>
      </w:r>
      <w:r w:rsidR="003C787F">
        <w:rPr>
          <w:rFonts w:eastAsia="Times New Roman"/>
        </w:rPr>
        <w:t>a</w:t>
      </w:r>
      <w:r>
        <w:rPr>
          <w:rFonts w:eastAsia="Times New Roman"/>
        </w:rPr>
        <w:t xml:space="preserve"> flavor of option 3.</w:t>
      </w:r>
    </w:p>
    <w:p w14:paraId="321D150F" w14:textId="23732B91" w:rsidR="009D1C90" w:rsidRDefault="009D1C90" w:rsidP="003C787F">
      <w:pPr>
        <w:numPr>
          <w:ilvl w:val="1"/>
          <w:numId w:val="24"/>
        </w:numPr>
        <w:overflowPunct/>
        <w:autoSpaceDE/>
        <w:autoSpaceDN/>
        <w:adjustRightInd/>
        <w:spacing w:after="0"/>
        <w:textAlignment w:val="auto"/>
        <w:rPr>
          <w:rFonts w:eastAsia="Times New Roman"/>
        </w:rPr>
      </w:pPr>
      <w:r>
        <w:rPr>
          <w:rFonts w:eastAsia="Times New Roman"/>
        </w:rPr>
        <w:t xml:space="preserve">If the CBG size is configured </w:t>
      </w:r>
      <w:r w:rsidR="003C787F">
        <w:rPr>
          <w:rFonts w:eastAsia="Times New Roman"/>
        </w:rPr>
        <w:t xml:space="preserve">too </w:t>
      </w:r>
      <w:r>
        <w:rPr>
          <w:rFonts w:eastAsia="Times New Roman"/>
        </w:rPr>
        <w:t>large, the benefit of CBG-based retransmission would be limited for smaller TBS</w:t>
      </w:r>
      <w:r w:rsidR="003C787F">
        <w:rPr>
          <w:rFonts w:eastAsia="Times New Roman"/>
        </w:rPr>
        <w:t>s</w:t>
      </w:r>
      <w:r>
        <w:rPr>
          <w:rFonts w:eastAsia="Times New Roman"/>
        </w:rPr>
        <w:t xml:space="preserve"> as there are very few number of CBGs.</w:t>
      </w:r>
    </w:p>
    <w:p w14:paraId="3892184E" w14:textId="7F47A972" w:rsidR="009D1C90" w:rsidRPr="003C787F" w:rsidRDefault="009D1C90" w:rsidP="003C787F">
      <w:pPr>
        <w:overflowPunct/>
        <w:autoSpaceDE/>
        <w:autoSpaceDN/>
        <w:adjustRightInd/>
        <w:spacing w:after="0"/>
        <w:textAlignment w:val="auto"/>
        <w:rPr>
          <w:rFonts w:eastAsia="Times New Roman"/>
          <w:b/>
          <w:u w:val="single"/>
        </w:rPr>
      </w:pPr>
      <w:r w:rsidRPr="003C787F">
        <w:rPr>
          <w:rFonts w:eastAsia="Times New Roman"/>
          <w:b/>
          <w:u w:val="single"/>
        </w:rPr>
        <w:t>Option 3</w:t>
      </w:r>
      <w:r w:rsidRPr="003C787F">
        <w:rPr>
          <w:rFonts w:eastAsia="Times New Roman"/>
        </w:rPr>
        <w:t xml:space="preserve"> (</w:t>
      </w:r>
      <w:r w:rsidR="003C787F" w:rsidRPr="003C787F">
        <w:rPr>
          <w:rFonts w:eastAsia="Times New Roman"/>
        </w:rPr>
        <w:t>The number of CBGs and/or the number CBs per CBG are defined according to TBS</w:t>
      </w:r>
      <w:r w:rsidRPr="003C787F">
        <w:rPr>
          <w:rFonts w:eastAsia="Times New Roman"/>
        </w:rPr>
        <w:t>)</w:t>
      </w:r>
    </w:p>
    <w:p w14:paraId="31772BFA" w14:textId="77777777" w:rsidR="003C787F" w:rsidRDefault="003C787F" w:rsidP="003C787F">
      <w:pPr>
        <w:numPr>
          <w:ilvl w:val="0"/>
          <w:numId w:val="24"/>
        </w:numPr>
        <w:overflowPunct/>
        <w:autoSpaceDE/>
        <w:autoSpaceDN/>
        <w:adjustRightInd/>
        <w:spacing w:after="0"/>
        <w:textAlignment w:val="auto"/>
        <w:rPr>
          <w:rFonts w:eastAsia="Times New Roman"/>
        </w:rPr>
      </w:pPr>
      <w:r>
        <w:rPr>
          <w:rFonts w:eastAsia="Times New Roman"/>
        </w:rPr>
        <w:t xml:space="preserve">Variable number of </w:t>
      </w:r>
      <w:r>
        <w:rPr>
          <w:rFonts w:eastAsia="MS Mincho"/>
          <w:lang w:val="en-US" w:eastAsia="ja-JP"/>
        </w:rPr>
        <w:t>HARQ-ACK</w:t>
      </w:r>
      <w:r>
        <w:rPr>
          <w:rFonts w:eastAsia="Times New Roman"/>
        </w:rPr>
        <w:t xml:space="preserve"> feedback bits per TB can make the error case handling more difficult (or larger DCI overhead) when </w:t>
      </w:r>
      <w:r>
        <w:rPr>
          <w:rFonts w:eastAsia="MS Mincho"/>
          <w:lang w:val="en-US" w:eastAsia="ja-JP"/>
        </w:rPr>
        <w:t xml:space="preserve">HARQ-ACK bits </w:t>
      </w:r>
      <w:r>
        <w:rPr>
          <w:rFonts w:eastAsia="Times New Roman"/>
        </w:rPr>
        <w:t>are multiplexed across multiple slots.</w:t>
      </w:r>
    </w:p>
    <w:p w14:paraId="57BB4266" w14:textId="1D637D52" w:rsidR="009D1C90" w:rsidRDefault="003C787F" w:rsidP="003C787F">
      <w:pPr>
        <w:numPr>
          <w:ilvl w:val="0"/>
          <w:numId w:val="24"/>
        </w:numPr>
        <w:overflowPunct/>
        <w:autoSpaceDE/>
        <w:autoSpaceDN/>
        <w:adjustRightInd/>
        <w:spacing w:after="0"/>
        <w:textAlignment w:val="auto"/>
        <w:rPr>
          <w:rFonts w:eastAsia="Times New Roman"/>
          <w:i/>
          <w:iCs/>
        </w:rPr>
      </w:pPr>
      <w:r>
        <w:rPr>
          <w:rFonts w:eastAsia="Times New Roman"/>
        </w:rPr>
        <w:t>It</w:t>
      </w:r>
      <w:r w:rsidR="009D1C90">
        <w:rPr>
          <w:rFonts w:eastAsia="Times New Roman"/>
        </w:rPr>
        <w:t xml:space="preserve"> would require some kind of </w:t>
      </w:r>
      <w:r>
        <w:rPr>
          <w:rFonts w:eastAsia="Times New Roman"/>
        </w:rPr>
        <w:t>mapping</w:t>
      </w:r>
      <w:r w:rsidR="00191BAB">
        <w:rPr>
          <w:rFonts w:eastAsia="Times New Roman"/>
        </w:rPr>
        <w:t xml:space="preserve"> table</w:t>
      </w:r>
      <w:r w:rsidR="009D1C90">
        <w:rPr>
          <w:rFonts w:eastAsia="Times New Roman"/>
        </w:rPr>
        <w:t xml:space="preserve"> </w:t>
      </w:r>
      <w:r>
        <w:rPr>
          <w:rFonts w:eastAsia="Times New Roman"/>
        </w:rPr>
        <w:t>between TBS and (the number of CBGs and/or the number of CBs per CBG)</w:t>
      </w:r>
      <w:r w:rsidR="009D1C90">
        <w:rPr>
          <w:rFonts w:eastAsia="Times New Roman"/>
        </w:rPr>
        <w:t xml:space="preserve">. </w:t>
      </w:r>
      <w:r>
        <w:rPr>
          <w:rFonts w:eastAsia="Times New Roman"/>
        </w:rPr>
        <w:t xml:space="preserve">We already agreed that </w:t>
      </w:r>
      <w:r w:rsidRPr="003C787F">
        <w:rPr>
          <w:rFonts w:eastAsia="Times New Roman"/>
        </w:rPr>
        <w:t>CBG granularity is configurable</w:t>
      </w:r>
      <w:r>
        <w:rPr>
          <w:rFonts w:eastAsia="Times New Roman"/>
        </w:rPr>
        <w:t xml:space="preserve">, so some </w:t>
      </w:r>
      <w:r w:rsidR="009D1C90">
        <w:rPr>
          <w:rFonts w:eastAsia="Times New Roman"/>
        </w:rPr>
        <w:t xml:space="preserve">configurability would be </w:t>
      </w:r>
      <w:r>
        <w:rPr>
          <w:rFonts w:eastAsia="Times New Roman"/>
        </w:rPr>
        <w:t>required</w:t>
      </w:r>
      <w:r w:rsidR="00191BAB">
        <w:rPr>
          <w:rFonts w:eastAsia="Times New Roman"/>
        </w:rPr>
        <w:t xml:space="preserve"> for creating some a mapping table</w:t>
      </w:r>
      <w:r w:rsidR="009D1C90">
        <w:rPr>
          <w:rFonts w:eastAsia="Times New Roman"/>
        </w:rPr>
        <w:t>.</w:t>
      </w:r>
    </w:p>
    <w:p w14:paraId="45EF29A2" w14:textId="0044F30D" w:rsidR="009D1C90" w:rsidRDefault="009D1C90" w:rsidP="003C787F">
      <w:pPr>
        <w:numPr>
          <w:ilvl w:val="0"/>
          <w:numId w:val="24"/>
        </w:numPr>
        <w:overflowPunct/>
        <w:autoSpaceDE/>
        <w:autoSpaceDN/>
        <w:adjustRightInd/>
        <w:spacing w:after="0"/>
        <w:textAlignment w:val="auto"/>
        <w:rPr>
          <w:rFonts w:eastAsia="Times New Roman"/>
          <w:i/>
          <w:iCs/>
        </w:rPr>
      </w:pPr>
      <w:r>
        <w:rPr>
          <w:rFonts w:eastAsia="Times New Roman"/>
        </w:rPr>
        <w:t>I</w:t>
      </w:r>
      <w:r w:rsidR="00191BAB">
        <w:rPr>
          <w:rFonts w:eastAsia="Times New Roman"/>
        </w:rPr>
        <w:t>t is reasonable to assume that a</w:t>
      </w:r>
      <w:r>
        <w:rPr>
          <w:rFonts w:eastAsia="Times New Roman"/>
        </w:rPr>
        <w:t xml:space="preserve"> max number of CBGs</w:t>
      </w:r>
      <w:r w:rsidR="00191BAB">
        <w:rPr>
          <w:rFonts w:eastAsia="Times New Roman"/>
        </w:rPr>
        <w:t xml:space="preserve"> would be configured</w:t>
      </w:r>
      <w:r>
        <w:rPr>
          <w:rFonts w:eastAsia="Times New Roman"/>
        </w:rPr>
        <w:t xml:space="preserve">, which </w:t>
      </w:r>
      <w:r w:rsidR="00191BAB">
        <w:rPr>
          <w:rFonts w:eastAsia="Times New Roman"/>
        </w:rPr>
        <w:t xml:space="preserve">can be </w:t>
      </w:r>
      <w:r>
        <w:rPr>
          <w:rFonts w:eastAsia="Times New Roman"/>
        </w:rPr>
        <w:t>applie</w:t>
      </w:r>
      <w:r w:rsidR="00191BAB">
        <w:rPr>
          <w:rFonts w:eastAsia="Times New Roman"/>
        </w:rPr>
        <w:t>d to large</w:t>
      </w:r>
      <w:r>
        <w:rPr>
          <w:rFonts w:eastAsia="Times New Roman"/>
        </w:rPr>
        <w:t xml:space="preserve"> TBS</w:t>
      </w:r>
      <w:r w:rsidR="00191BAB">
        <w:rPr>
          <w:rFonts w:eastAsia="Times New Roman"/>
        </w:rPr>
        <w:t>s</w:t>
      </w:r>
      <w:r>
        <w:rPr>
          <w:rFonts w:eastAsia="Times New Roman"/>
        </w:rPr>
        <w:t xml:space="preserve">. Then as TBS becomes smaller, we can start to use </w:t>
      </w:r>
      <w:r w:rsidR="00191BAB">
        <w:rPr>
          <w:rFonts w:eastAsia="Times New Roman"/>
        </w:rPr>
        <w:t>smaller</w:t>
      </w:r>
      <w:r>
        <w:rPr>
          <w:rFonts w:eastAsia="Times New Roman"/>
        </w:rPr>
        <w:t xml:space="preserve"> number of </w:t>
      </w:r>
      <w:r w:rsidR="00191BAB">
        <w:rPr>
          <w:rFonts w:eastAsia="Times New Roman"/>
        </w:rPr>
        <w:t>CBGs</w:t>
      </w:r>
      <w:r>
        <w:rPr>
          <w:rFonts w:eastAsia="Times New Roman"/>
        </w:rPr>
        <w:t>.</w:t>
      </w:r>
    </w:p>
    <w:p w14:paraId="031CF8E2" w14:textId="7E64A9D9" w:rsidR="00191BAB" w:rsidRDefault="00191BAB" w:rsidP="00191BAB">
      <w:pPr>
        <w:numPr>
          <w:ilvl w:val="1"/>
          <w:numId w:val="24"/>
        </w:numPr>
        <w:overflowPunct/>
        <w:autoSpaceDE/>
        <w:autoSpaceDN/>
        <w:adjustRightInd/>
        <w:spacing w:after="0"/>
        <w:textAlignment w:val="auto"/>
        <w:rPr>
          <w:rFonts w:eastAsia="Times New Roman"/>
          <w:i/>
          <w:iCs/>
        </w:rPr>
      </w:pPr>
      <w:r>
        <w:rPr>
          <w:rFonts w:eastAsia="Times New Roman"/>
        </w:rPr>
        <w:t>The exact rules of when to use smaller number of CBGs would be a tradeoff between the performance gain and the HARQ-ACK feedback overhead.</w:t>
      </w:r>
    </w:p>
    <w:p w14:paraId="09849F17" w14:textId="0369C420" w:rsidR="009D1C90" w:rsidRPr="00191BAB" w:rsidRDefault="00191BAB" w:rsidP="00191BAB">
      <w:pPr>
        <w:numPr>
          <w:ilvl w:val="2"/>
          <w:numId w:val="24"/>
        </w:numPr>
        <w:overflowPunct/>
        <w:autoSpaceDE/>
        <w:autoSpaceDN/>
        <w:adjustRightInd/>
        <w:spacing w:after="0"/>
        <w:textAlignment w:val="auto"/>
        <w:rPr>
          <w:rFonts w:eastAsia="Times New Roman"/>
          <w:i/>
          <w:iCs/>
        </w:rPr>
      </w:pPr>
      <w:r>
        <w:rPr>
          <w:rFonts w:eastAsia="Times New Roman"/>
          <w:iCs/>
        </w:rPr>
        <w:t>As one extreme case, a smaller number of CBGs is used only when the number of CBs in a TB is less than the max number of CBGs. This would be very similar to Option 1.</w:t>
      </w:r>
    </w:p>
    <w:p w14:paraId="0B95A398" w14:textId="357E8409" w:rsidR="00191BAB" w:rsidRPr="00191BAB" w:rsidRDefault="00191BAB" w:rsidP="00191BAB">
      <w:pPr>
        <w:numPr>
          <w:ilvl w:val="2"/>
          <w:numId w:val="24"/>
        </w:numPr>
        <w:overflowPunct/>
        <w:autoSpaceDE/>
        <w:autoSpaceDN/>
        <w:adjustRightInd/>
        <w:spacing w:after="0"/>
        <w:textAlignment w:val="auto"/>
        <w:rPr>
          <w:rFonts w:eastAsia="Times New Roman"/>
          <w:i/>
          <w:iCs/>
        </w:rPr>
      </w:pPr>
      <w:r>
        <w:rPr>
          <w:rFonts w:eastAsia="Times New Roman"/>
          <w:iCs/>
        </w:rPr>
        <w:t>Other intermediate mapping tables can also be defined so that smaller number of CBGs is used even when the number of CBs in a TB is larger than the max number of CBGs. This would sacrifice some performance gain for less feedback bits compared to the extreme case above.</w:t>
      </w:r>
    </w:p>
    <w:p w14:paraId="2D6A4295" w14:textId="5942FF7F" w:rsidR="009D1C90" w:rsidRDefault="009D1C90" w:rsidP="003B3C64">
      <w:pPr>
        <w:spacing w:after="120"/>
        <w:jc w:val="both"/>
        <w:rPr>
          <w:rFonts w:eastAsia="MS Mincho"/>
          <w:lang w:eastAsia="ja-JP"/>
        </w:rPr>
      </w:pPr>
    </w:p>
    <w:p w14:paraId="7A50A245" w14:textId="4C2C238F" w:rsidR="000306E6" w:rsidRDefault="000306E6" w:rsidP="003B3C64">
      <w:pPr>
        <w:spacing w:after="120"/>
        <w:jc w:val="both"/>
        <w:rPr>
          <w:rFonts w:eastAsia="MS Mincho"/>
          <w:lang w:eastAsia="ja-JP"/>
        </w:rPr>
      </w:pPr>
      <w:r>
        <w:rPr>
          <w:rFonts w:eastAsia="MS Mincho"/>
          <w:lang w:eastAsia="ja-JP"/>
        </w:rPr>
        <w:t>With these considerations, it appears that option 2 is not a good option as it does not have obvious advantages over the other two options but has its own disadvantages.</w:t>
      </w:r>
    </w:p>
    <w:p w14:paraId="495B6DB3" w14:textId="17CCC696" w:rsidR="000306E6" w:rsidRDefault="000306E6" w:rsidP="003B3C64">
      <w:pPr>
        <w:spacing w:after="120"/>
        <w:jc w:val="both"/>
        <w:rPr>
          <w:rFonts w:eastAsia="MS Mincho"/>
          <w:lang w:eastAsia="ja-JP"/>
        </w:rPr>
      </w:pPr>
      <w:r>
        <w:rPr>
          <w:rFonts w:eastAsia="MS Mincho"/>
          <w:lang w:eastAsia="ja-JP"/>
        </w:rPr>
        <w:t>Between option 1 and option 3, option 3 provides more control at the gNB on what tradeoff to achieve between the performance and the overhead. However, it comes with additional complexity associated with the variable feedback size. Moreover, our previous simulation results [3] showed that in majority of the cases the number of CBs in error is small so it is beneficial to use a large number of CBGs when possible. This points to the direction of option 1. And the potential disadvantage of option 1 in terms of unused HARQ-ACK bits in small TBS cases can be overcome by using a priori info at the decoder. Therefore, we propose:</w:t>
      </w:r>
    </w:p>
    <w:p w14:paraId="4556B6A3" w14:textId="1D34177F" w:rsidR="000306E6" w:rsidRPr="000306E6" w:rsidRDefault="00595C2C" w:rsidP="000306E6">
      <w:pPr>
        <w:rPr>
          <w:i/>
        </w:rPr>
      </w:pPr>
      <w:r w:rsidRPr="00595C2C">
        <w:rPr>
          <w:b/>
          <w:i/>
        </w:rPr>
        <w:t>Proposal 1:</w:t>
      </w:r>
      <w:r w:rsidRPr="00595C2C">
        <w:rPr>
          <w:i/>
        </w:rPr>
        <w:t xml:space="preserve"> </w:t>
      </w:r>
      <w:r w:rsidR="000306E6" w:rsidRPr="000306E6">
        <w:rPr>
          <w:i/>
        </w:rPr>
        <w:t>For grou</w:t>
      </w:r>
      <w:r w:rsidR="000306E6">
        <w:rPr>
          <w:i/>
        </w:rPr>
        <w:t>ping CB(s) into CBG(s), o</w:t>
      </w:r>
      <w:r w:rsidR="000306E6" w:rsidRPr="000306E6">
        <w:rPr>
          <w:i/>
        </w:rPr>
        <w:t>ption 1</w:t>
      </w:r>
      <w:r w:rsidR="000306E6">
        <w:rPr>
          <w:i/>
        </w:rPr>
        <w:t xml:space="preserve"> (w</w:t>
      </w:r>
      <w:r w:rsidR="000306E6" w:rsidRPr="000306E6">
        <w:rPr>
          <w:i/>
        </w:rPr>
        <w:t>ith configured number of CBGs, the number of CBs in</w:t>
      </w:r>
      <w:r w:rsidR="000306E6">
        <w:rPr>
          <w:i/>
        </w:rPr>
        <w:t xml:space="preserve"> a CBG changes according to TBS) is adopted.</w:t>
      </w:r>
    </w:p>
    <w:p w14:paraId="3F881349" w14:textId="20FF4120" w:rsidR="00FF2D5B" w:rsidRDefault="00FF2D5B" w:rsidP="00FF2D5B">
      <w:pPr>
        <w:pStyle w:val="Heading1"/>
        <w:rPr>
          <w:color w:val="000000"/>
        </w:rPr>
      </w:pPr>
      <w:r>
        <w:rPr>
          <w:color w:val="000000"/>
        </w:rPr>
        <w:t>3</w:t>
      </w:r>
      <w:r w:rsidRPr="00A51522">
        <w:rPr>
          <w:color w:val="000000"/>
        </w:rPr>
        <w:tab/>
      </w:r>
      <w:r w:rsidR="00A81DD3">
        <w:rPr>
          <w:color w:val="000000"/>
        </w:rPr>
        <w:t>Alignment of CBGs with OFDM symbols</w:t>
      </w:r>
    </w:p>
    <w:p w14:paraId="63A44381" w14:textId="4FC48AFB" w:rsidR="00A81DD3" w:rsidRDefault="00A81DD3" w:rsidP="00EB772D">
      <w:pPr>
        <w:spacing w:after="120"/>
        <w:jc w:val="both"/>
        <w:rPr>
          <w:rFonts w:eastAsia="MS Mincho"/>
          <w:lang w:val="en-US" w:eastAsia="ja-JP"/>
        </w:rPr>
      </w:pPr>
      <w:r>
        <w:rPr>
          <w:rFonts w:eastAsia="MS Mincho"/>
          <w:lang w:val="en-US" w:eastAsia="ja-JP"/>
        </w:rPr>
        <w:t xml:space="preserve">From performance point of view, it is generally beneficial to have the CBG boundaries aligned with OFDM symbols. CB decoding errors can occur e.g. due to the bursty interference in one or more OFDM symbols, or </w:t>
      </w:r>
      <w:r w:rsidR="003A5DD0">
        <w:rPr>
          <w:rFonts w:eastAsia="MS Mincho"/>
          <w:lang w:val="en-US" w:eastAsia="ja-JP"/>
        </w:rPr>
        <w:t>if some resources are pu</w:t>
      </w:r>
      <w:r>
        <w:rPr>
          <w:rFonts w:eastAsia="MS Mincho"/>
          <w:lang w:val="en-US" w:eastAsia="ja-JP"/>
        </w:rPr>
        <w:t>nctur</w:t>
      </w:r>
      <w:r w:rsidR="003A5DD0">
        <w:rPr>
          <w:rFonts w:eastAsia="MS Mincho"/>
          <w:lang w:val="en-US" w:eastAsia="ja-JP"/>
        </w:rPr>
        <w:t>ed</w:t>
      </w:r>
      <w:r>
        <w:rPr>
          <w:rFonts w:eastAsia="MS Mincho"/>
          <w:lang w:val="en-US" w:eastAsia="ja-JP"/>
        </w:rPr>
        <w:t xml:space="preserve"> </w:t>
      </w:r>
      <w:r w:rsidR="003A5DD0">
        <w:rPr>
          <w:rFonts w:eastAsia="MS Mincho"/>
          <w:lang w:val="en-US" w:eastAsia="ja-JP"/>
        </w:rPr>
        <w:t>by</w:t>
      </w:r>
      <w:r>
        <w:rPr>
          <w:rFonts w:eastAsia="MS Mincho"/>
          <w:lang w:val="en-US" w:eastAsia="ja-JP"/>
        </w:rPr>
        <w:t xml:space="preserve"> </w:t>
      </w:r>
      <w:r w:rsidR="003A5DD0">
        <w:rPr>
          <w:rFonts w:eastAsia="MS Mincho"/>
          <w:lang w:val="en-US" w:eastAsia="ja-JP"/>
        </w:rPr>
        <w:t>mini-slot-based higher priority traffic. In these cases, alignment of CBG with OFDM symbols would allow more efficient CBG-based (re-)transmissions.</w:t>
      </w:r>
    </w:p>
    <w:p w14:paraId="42148DDC" w14:textId="1478FEBB" w:rsidR="003A5DD0" w:rsidRDefault="003A5DD0" w:rsidP="00EB772D">
      <w:pPr>
        <w:spacing w:after="120"/>
        <w:jc w:val="both"/>
        <w:rPr>
          <w:rFonts w:eastAsia="MS Mincho"/>
          <w:lang w:val="en-US" w:eastAsia="ja-JP"/>
        </w:rPr>
      </w:pPr>
      <w:r>
        <w:rPr>
          <w:rFonts w:eastAsia="MS Mincho"/>
          <w:lang w:val="en-US" w:eastAsia="ja-JP"/>
        </w:rPr>
        <w:lastRenderedPageBreak/>
        <w:t>On the other hand, the feasibility/performance of such a scheme should also be considered.</w:t>
      </w:r>
    </w:p>
    <w:p w14:paraId="00D10E19" w14:textId="5794006F" w:rsidR="003A5DD0" w:rsidRDefault="003A5DD0" w:rsidP="00EB772D">
      <w:pPr>
        <w:spacing w:after="120"/>
        <w:jc w:val="both"/>
        <w:rPr>
          <w:rFonts w:eastAsia="MS Mincho"/>
          <w:lang w:val="en-US" w:eastAsia="ja-JP"/>
        </w:rPr>
      </w:pPr>
      <w:r>
        <w:rPr>
          <w:rFonts w:eastAsia="MS Mincho"/>
          <w:lang w:val="en-US" w:eastAsia="ja-JP"/>
        </w:rPr>
        <w:t xml:space="preserve">The max CB size has been defined to be </w:t>
      </w:r>
      <w:r w:rsidRPr="003A5DD0">
        <w:rPr>
          <w:rFonts w:eastAsia="MS Mincho"/>
          <w:lang w:val="en-US" w:eastAsia="ja-JP"/>
        </w:rPr>
        <w:t>8448</w:t>
      </w:r>
      <w:r>
        <w:rPr>
          <w:rFonts w:eastAsia="MS Mincho"/>
          <w:lang w:val="en-US" w:eastAsia="ja-JP"/>
        </w:rPr>
        <w:t>. If we use the max CB size for segmentation, it is not possible to automatically align the CBGs with OFDM symbols. In order to achieve the alignment, the TB needs to be segmented based on the number of bits carried in each symbol based on the allocated resources/MCS and the number of CBGs</w:t>
      </w:r>
      <w:r w:rsidR="00D9062A">
        <w:rPr>
          <w:rFonts w:eastAsia="MS Mincho"/>
          <w:lang w:val="en-US" w:eastAsia="ja-JP"/>
        </w:rPr>
        <w:t>. This means that the CB size would typically be smaller than the max CB size, resulting in less coding gain. In addition, it may have implications on the transmitter chain because it requires segmentation, CRC attachment, and padding to be done only after the scheduler decision.</w:t>
      </w:r>
    </w:p>
    <w:p w14:paraId="63E1871A" w14:textId="7D3E33A0" w:rsidR="00D9062A" w:rsidRDefault="00D9062A" w:rsidP="00EB772D">
      <w:pPr>
        <w:spacing w:after="120"/>
        <w:jc w:val="both"/>
        <w:rPr>
          <w:rFonts w:eastAsia="MS Mincho"/>
          <w:lang w:val="en-US" w:eastAsia="ja-JP"/>
        </w:rPr>
      </w:pPr>
      <w:r>
        <w:rPr>
          <w:rFonts w:eastAsia="MS Mincho"/>
          <w:lang w:val="en-US" w:eastAsia="ja-JP"/>
        </w:rPr>
        <w:t>Overall this would need further investigation, and such discussion would be best to occur under the channel coding agenda item.</w:t>
      </w:r>
    </w:p>
    <w:p w14:paraId="704D9EF7" w14:textId="77777777" w:rsidR="00D9062A" w:rsidRPr="00D9062A" w:rsidRDefault="00D9062A" w:rsidP="00EB772D">
      <w:pPr>
        <w:spacing w:after="120"/>
        <w:jc w:val="both"/>
        <w:rPr>
          <w:rFonts w:eastAsia="MS Mincho"/>
          <w:i/>
          <w:lang w:val="en-US" w:eastAsia="ja-JP"/>
        </w:rPr>
      </w:pPr>
      <w:r w:rsidRPr="00D9062A">
        <w:rPr>
          <w:rFonts w:eastAsia="MS Mincho"/>
          <w:b/>
          <w:i/>
          <w:lang w:val="en-US" w:eastAsia="ja-JP"/>
        </w:rPr>
        <w:t>Observation</w:t>
      </w:r>
      <w:r w:rsidRPr="00D9062A">
        <w:rPr>
          <w:rFonts w:eastAsia="MS Mincho"/>
          <w:i/>
          <w:lang w:val="en-US" w:eastAsia="ja-JP"/>
        </w:rPr>
        <w:t>: The potential alignment of CBGs with OFDM symbols should be discussed under the channel coding agenda item.</w:t>
      </w:r>
    </w:p>
    <w:p w14:paraId="30E029DD" w14:textId="116A7D3E" w:rsidR="0034111C" w:rsidRPr="00A51522" w:rsidRDefault="000306E6">
      <w:pPr>
        <w:pStyle w:val="Heading1"/>
        <w:rPr>
          <w:color w:val="000000"/>
        </w:rPr>
      </w:pPr>
      <w:r>
        <w:rPr>
          <w:color w:val="000000"/>
        </w:rPr>
        <w:t>4</w:t>
      </w:r>
      <w:r w:rsidR="0034111C" w:rsidRPr="00A51522">
        <w:rPr>
          <w:color w:val="000000"/>
        </w:rPr>
        <w:tab/>
      </w:r>
      <w:r w:rsidR="00EE7FA7" w:rsidRPr="00A51522">
        <w:rPr>
          <w:color w:val="000000"/>
        </w:rPr>
        <w:t>Conclusion</w:t>
      </w:r>
    </w:p>
    <w:p w14:paraId="30E029DE" w14:textId="5CC172CA" w:rsidR="00731B79" w:rsidRDefault="003D3FBA" w:rsidP="003B3C64">
      <w:pPr>
        <w:jc w:val="both"/>
        <w:rPr>
          <w:bCs/>
        </w:rPr>
      </w:pPr>
      <w:r w:rsidRPr="00A51522">
        <w:t xml:space="preserve">In this </w:t>
      </w:r>
      <w:r w:rsidR="00986146" w:rsidRPr="00A51522">
        <w:t>contribution,</w:t>
      </w:r>
      <w:r w:rsidRPr="00A51522">
        <w:t xml:space="preserve"> we have discussed </w:t>
      </w:r>
      <w:r w:rsidR="0053614D">
        <w:t>some open issues related to CBG-based (re-) transmissions, with the following proposal and observation</w:t>
      </w:r>
      <w:r w:rsidR="00342AD2" w:rsidRPr="006A1BEB">
        <w:rPr>
          <w:bCs/>
        </w:rPr>
        <w:t>:</w:t>
      </w:r>
    </w:p>
    <w:p w14:paraId="13A0143A" w14:textId="59993FFC" w:rsidR="0053614D" w:rsidRPr="000306E6" w:rsidRDefault="0053614D" w:rsidP="0053614D">
      <w:pPr>
        <w:rPr>
          <w:i/>
        </w:rPr>
      </w:pPr>
      <w:r>
        <w:rPr>
          <w:b/>
          <w:i/>
        </w:rPr>
        <w:t>Proposal</w:t>
      </w:r>
      <w:r w:rsidRPr="00595C2C">
        <w:rPr>
          <w:b/>
          <w:i/>
        </w:rPr>
        <w:t>:</w:t>
      </w:r>
      <w:r w:rsidRPr="00595C2C">
        <w:rPr>
          <w:i/>
        </w:rPr>
        <w:t xml:space="preserve"> </w:t>
      </w:r>
      <w:r w:rsidRPr="000306E6">
        <w:rPr>
          <w:i/>
        </w:rPr>
        <w:t>For grou</w:t>
      </w:r>
      <w:r>
        <w:rPr>
          <w:i/>
        </w:rPr>
        <w:t>ping CB(s) into CBG(s), o</w:t>
      </w:r>
      <w:r w:rsidRPr="000306E6">
        <w:rPr>
          <w:i/>
        </w:rPr>
        <w:t>ption 1</w:t>
      </w:r>
      <w:r>
        <w:rPr>
          <w:i/>
        </w:rPr>
        <w:t xml:space="preserve"> (w</w:t>
      </w:r>
      <w:r w:rsidRPr="000306E6">
        <w:rPr>
          <w:i/>
        </w:rPr>
        <w:t>ith configured number of CBGs, the number of CBs in</w:t>
      </w:r>
      <w:r>
        <w:rPr>
          <w:i/>
        </w:rPr>
        <w:t xml:space="preserve"> a CBG changes according to TBS) is adopted.</w:t>
      </w:r>
    </w:p>
    <w:p w14:paraId="5AA7D8FD" w14:textId="77777777" w:rsidR="0053614D" w:rsidRPr="00D9062A" w:rsidRDefault="0053614D" w:rsidP="0053614D">
      <w:pPr>
        <w:spacing w:after="120"/>
        <w:jc w:val="both"/>
        <w:rPr>
          <w:rFonts w:eastAsia="MS Mincho"/>
          <w:i/>
          <w:lang w:val="en-US" w:eastAsia="ja-JP"/>
        </w:rPr>
      </w:pPr>
      <w:r w:rsidRPr="00D9062A">
        <w:rPr>
          <w:rFonts w:eastAsia="MS Mincho"/>
          <w:b/>
          <w:i/>
          <w:lang w:val="en-US" w:eastAsia="ja-JP"/>
        </w:rPr>
        <w:t>Observation</w:t>
      </w:r>
      <w:r w:rsidRPr="00D9062A">
        <w:rPr>
          <w:rFonts w:eastAsia="MS Mincho"/>
          <w:i/>
          <w:lang w:val="en-US" w:eastAsia="ja-JP"/>
        </w:rPr>
        <w:t>: The potential alignment of CBGs with OFDM symbols should be discussed under the channel coding agenda item.</w:t>
      </w:r>
    </w:p>
    <w:p w14:paraId="30E029F2" w14:textId="669531D3" w:rsidR="0034111C" w:rsidRPr="00521425" w:rsidRDefault="0034111C">
      <w:pPr>
        <w:pStyle w:val="Heading1"/>
      </w:pPr>
      <w:r w:rsidRPr="00521425">
        <w:t>References</w:t>
      </w:r>
    </w:p>
    <w:p w14:paraId="44EA3FA8" w14:textId="4CBA3E99" w:rsidR="006B564D" w:rsidRPr="00ED58A7" w:rsidRDefault="00ED58A7" w:rsidP="0081067F">
      <w:pPr>
        <w:pStyle w:val="NormalWeb"/>
        <w:numPr>
          <w:ilvl w:val="0"/>
          <w:numId w:val="1"/>
        </w:numPr>
        <w:spacing w:before="0" w:beforeAutospacing="0" w:after="120" w:afterAutospacing="0"/>
        <w:rPr>
          <w:sz w:val="20"/>
          <w:szCs w:val="22"/>
        </w:rPr>
      </w:pPr>
      <w:r w:rsidRPr="00ED58A7">
        <w:rPr>
          <w:sz w:val="20"/>
          <w:szCs w:val="22"/>
        </w:rPr>
        <w:t>R1-1708532</w:t>
      </w:r>
      <w:r w:rsidR="00AE61B2" w:rsidRPr="00ED58A7">
        <w:rPr>
          <w:sz w:val="20"/>
          <w:szCs w:val="22"/>
        </w:rPr>
        <w:t>, “</w:t>
      </w:r>
      <w:r w:rsidR="0081067F" w:rsidRPr="00ED58A7">
        <w:rPr>
          <w:sz w:val="20"/>
          <w:szCs w:val="22"/>
        </w:rPr>
        <w:t>Open issues for preemptive scheduling</w:t>
      </w:r>
      <w:r w:rsidR="00AE61B2" w:rsidRPr="00ED58A7">
        <w:rPr>
          <w:sz w:val="20"/>
          <w:szCs w:val="22"/>
        </w:rPr>
        <w:t>”, Nokia, Alcatel-Lucent Shanghai Bell, RAN1#89, May 2017.</w:t>
      </w:r>
    </w:p>
    <w:p w14:paraId="2CCC20DF" w14:textId="6BF267A2" w:rsidR="0081067F" w:rsidRPr="00ED58A7" w:rsidRDefault="00ED58A7" w:rsidP="0081067F">
      <w:pPr>
        <w:pStyle w:val="NormalWeb"/>
        <w:numPr>
          <w:ilvl w:val="0"/>
          <w:numId w:val="1"/>
        </w:numPr>
        <w:spacing w:before="0" w:beforeAutospacing="0" w:after="120" w:afterAutospacing="0"/>
        <w:rPr>
          <w:sz w:val="20"/>
          <w:szCs w:val="22"/>
        </w:rPr>
      </w:pPr>
      <w:r w:rsidRPr="00ED58A7">
        <w:rPr>
          <w:sz w:val="20"/>
          <w:szCs w:val="22"/>
        </w:rPr>
        <w:t>R1-1708527</w:t>
      </w:r>
      <w:r w:rsidR="0081067F" w:rsidRPr="00ED58A7">
        <w:rPr>
          <w:sz w:val="20"/>
          <w:szCs w:val="22"/>
        </w:rPr>
        <w:t>, “On HARQ feedback determination”, Nokia, Alcatel-Lucent Shanghai Bell, RAN1#89, May 2017.</w:t>
      </w:r>
    </w:p>
    <w:p w14:paraId="271552A6" w14:textId="39D08385" w:rsidR="007519E2" w:rsidRPr="007519E2" w:rsidRDefault="007519E2" w:rsidP="007519E2">
      <w:pPr>
        <w:pStyle w:val="NormalWeb"/>
        <w:numPr>
          <w:ilvl w:val="0"/>
          <w:numId w:val="1"/>
        </w:numPr>
        <w:spacing w:before="0" w:beforeAutospacing="0" w:after="120" w:afterAutospacing="0"/>
        <w:rPr>
          <w:sz w:val="20"/>
          <w:szCs w:val="22"/>
        </w:rPr>
      </w:pPr>
      <w:r w:rsidRPr="00ED58A7">
        <w:rPr>
          <w:sz w:val="20"/>
          <w:szCs w:val="22"/>
        </w:rPr>
        <w:t>R1-1705243, “CBG based feedback for NR HARQ operation”, Nokia, Alcatel-Lucent Shanghai Bell, RAN1#88bis,</w:t>
      </w:r>
      <w:r>
        <w:rPr>
          <w:sz w:val="20"/>
          <w:szCs w:val="22"/>
        </w:rPr>
        <w:t xml:space="preserve"> April</w:t>
      </w:r>
      <w:r w:rsidRPr="007519E2">
        <w:rPr>
          <w:sz w:val="20"/>
          <w:szCs w:val="22"/>
        </w:rPr>
        <w:t xml:space="preserve"> 2017.</w:t>
      </w:r>
    </w:p>
    <w:sectPr w:rsidR="007519E2" w:rsidRPr="007519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53B30" w14:textId="77777777" w:rsidR="009B2E2B" w:rsidRDefault="009B2E2B">
      <w:r>
        <w:separator/>
      </w:r>
    </w:p>
  </w:endnote>
  <w:endnote w:type="continuationSeparator" w:id="0">
    <w:p w14:paraId="4B38BC15" w14:textId="77777777" w:rsidR="009B2E2B" w:rsidRDefault="009B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7A31F" w14:textId="77777777" w:rsidR="009B2E2B" w:rsidRDefault="009B2E2B">
      <w:r>
        <w:separator/>
      </w:r>
    </w:p>
  </w:footnote>
  <w:footnote w:type="continuationSeparator" w:id="0">
    <w:p w14:paraId="187FDD96" w14:textId="77777777" w:rsidR="009B2E2B" w:rsidRDefault="009B2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7"/>
  </w:num>
  <w:num w:numId="2">
    <w:abstractNumId w:val="3"/>
  </w:num>
  <w:num w:numId="3">
    <w:abstractNumId w:val="1"/>
  </w:num>
  <w:num w:numId="4">
    <w:abstractNumId w:val="23"/>
  </w:num>
  <w:num w:numId="5">
    <w:abstractNumId w:val="19"/>
  </w:num>
  <w:num w:numId="6">
    <w:abstractNumId w:val="9"/>
  </w:num>
  <w:num w:numId="7">
    <w:abstractNumId w:val="5"/>
  </w:num>
  <w:num w:numId="8">
    <w:abstractNumId w:val="18"/>
  </w:num>
  <w:num w:numId="9">
    <w:abstractNumId w:val="12"/>
  </w:num>
  <w:num w:numId="10">
    <w:abstractNumId w:val="4"/>
  </w:num>
  <w:num w:numId="11">
    <w:abstractNumId w:val="8"/>
  </w:num>
  <w:num w:numId="12">
    <w:abstractNumId w:val="14"/>
  </w:num>
  <w:num w:numId="13">
    <w:abstractNumId w:val="16"/>
  </w:num>
  <w:num w:numId="14">
    <w:abstractNumId w:val="11"/>
  </w:num>
  <w:num w:numId="15">
    <w:abstractNumId w:val="10"/>
  </w:num>
  <w:num w:numId="16">
    <w:abstractNumId w:val="21"/>
  </w:num>
  <w:num w:numId="17">
    <w:abstractNumId w:val="0"/>
  </w:num>
  <w:num w:numId="18">
    <w:abstractNumId w:val="17"/>
  </w:num>
  <w:num w:numId="19">
    <w:abstractNumId w:val="2"/>
  </w:num>
  <w:num w:numId="20">
    <w:abstractNumId w:val="13"/>
  </w:num>
  <w:num w:numId="21">
    <w:abstractNumId w:val="6"/>
  </w:num>
  <w:num w:numId="22">
    <w:abstractNumId w:val="22"/>
  </w:num>
  <w:num w:numId="23">
    <w:abstractNumId w:val="20"/>
  </w:num>
  <w:num w:numId="24">
    <w:abstractNumId w:val="15"/>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C90"/>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61B2"/>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A96"/>
    <w:rsid w:val="00B4184B"/>
    <w:rsid w:val="00B422A7"/>
    <w:rsid w:val="00B42A32"/>
    <w:rsid w:val="00B42FA6"/>
    <w:rsid w:val="00B4399E"/>
    <w:rsid w:val="00B43A16"/>
    <w:rsid w:val="00B45CE1"/>
    <w:rsid w:val="00B46A75"/>
    <w:rsid w:val="00B500CD"/>
    <w:rsid w:val="00B5239C"/>
    <w:rsid w:val="00B52419"/>
    <w:rsid w:val="00B53893"/>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180C"/>
    <w:rsid w:val="00DA3E7B"/>
    <w:rsid w:val="00DA3F17"/>
    <w:rsid w:val="00DA418E"/>
    <w:rsid w:val="00DA451D"/>
    <w:rsid w:val="00DA56DB"/>
    <w:rsid w:val="00DA6452"/>
    <w:rsid w:val="00DA6FE9"/>
    <w:rsid w:val="00DA7925"/>
    <w:rsid w:val="00DB031E"/>
    <w:rsid w:val="00DB040B"/>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SP-5AIRPNAIUNRU-1830940522-830</_dlc_DocId>
    <_dlc_DocIdUrl xmlns="71c5aaf6-e6ce-465b-b873-5148d2a4c105">
      <Url>https://nokia.sharepoint.com/sites/c5g/5gradio/_layouts/15/DocIdRedir.aspx?ID=SP-5AIRPNAIUNRU-1830940522-830</Url>
      <Description>SP-5AIRPNAIUNRU-1830940522-830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74894-5833-4602-9198-E72B3B6F9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57317BDA-EAA5-49D3-A95A-09D8A8F52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2130</TotalTime>
  <Pages>3</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20</cp:revision>
  <cp:lastPrinted>2016-06-20T11:35:00Z</cp:lastPrinted>
  <dcterms:created xsi:type="dcterms:W3CDTF">2017-04-28T20:33:00Z</dcterms:created>
  <dcterms:modified xsi:type="dcterms:W3CDTF">2017-05-05T21:17:00Z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c2c5a9b8-aa8f-4855-bf44-a752cdbaac78</vt:lpwstr>
  </property>
</Properties>
</file>